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10CDB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before="87" w:line="360" w:lineRule="auto"/>
        <w:ind w:left="50"/>
        <w:textAlignment w:val="auto"/>
        <w:rPr>
          <w:rFonts w:hint="eastAsia"/>
          <w:spacing w:val="-4"/>
          <w:lang w:eastAsia="zh-CN"/>
        </w:rPr>
      </w:pPr>
      <w:r>
        <w:rPr>
          <w:spacing w:val="-4"/>
        </w:rPr>
        <w:t>附件2</w:t>
      </w:r>
      <w:r>
        <w:rPr>
          <w:rFonts w:hint="eastAsia"/>
          <w:spacing w:val="-4"/>
          <w:lang w:eastAsia="zh-CN"/>
        </w:rPr>
        <w:t>：</w:t>
      </w:r>
    </w:p>
    <w:p w14:paraId="14751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6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12"/>
          <w:w w:val="91"/>
          <w:position w:val="-2"/>
          <w:sz w:val="36"/>
          <w:szCs w:val="36"/>
        </w:rPr>
        <w:t>第十</w:t>
      </w:r>
      <w:r>
        <w:rPr>
          <w:rFonts w:hint="eastAsia" w:ascii="宋体" w:hAnsi="宋体" w:eastAsia="宋体" w:cs="宋体"/>
          <w:b/>
          <w:bCs/>
          <w:spacing w:val="-12"/>
          <w:w w:val="91"/>
          <w:position w:val="-2"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pacing w:val="-12"/>
          <w:w w:val="91"/>
          <w:position w:val="-2"/>
          <w:sz w:val="36"/>
          <w:szCs w:val="36"/>
        </w:rPr>
        <w:t>届吉首大学大学生职业规划大赛</w:t>
      </w:r>
      <w:r>
        <w:rPr>
          <w:rFonts w:hint="eastAsia" w:ascii="宋体" w:hAnsi="宋体" w:eastAsia="宋体" w:cs="宋体"/>
          <w:b/>
          <w:bCs/>
          <w:spacing w:val="-9"/>
          <w:w w:val="91"/>
          <w:position w:val="-2"/>
          <w:sz w:val="36"/>
          <w:szCs w:val="36"/>
          <w:lang w:val="en-US" w:eastAsia="zh-CN"/>
        </w:rPr>
        <w:t>就业</w:t>
      </w:r>
      <w:r>
        <w:rPr>
          <w:rFonts w:hint="eastAsia" w:ascii="宋体" w:hAnsi="宋体" w:eastAsia="宋体" w:cs="宋体"/>
          <w:b/>
          <w:bCs/>
          <w:spacing w:val="-9"/>
          <w:w w:val="91"/>
          <w:position w:val="-2"/>
          <w:sz w:val="36"/>
          <w:szCs w:val="36"/>
        </w:rPr>
        <w:t>赛道方案</w:t>
      </w:r>
      <w:bookmarkEnd w:id="0"/>
    </w:p>
    <w:p w14:paraId="6144A0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16"/>
        <w:jc w:val="both"/>
        <w:textAlignment w:val="auto"/>
        <w:rPr>
          <w:rFonts w:hint="eastAsia" w:ascii="宋体" w:hAnsi="宋体" w:eastAsia="宋体" w:cs="宋体"/>
          <w:b/>
          <w:bCs/>
          <w:spacing w:val="8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8"/>
          <w:sz w:val="30"/>
          <w:szCs w:val="30"/>
        </w:rPr>
        <w:t>一、比赛内容</w:t>
      </w:r>
    </w:p>
    <w:p w14:paraId="2A6284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考察学生求职实战能力</w:t>
      </w:r>
      <w:r>
        <w:rPr>
          <w:rFonts w:hint="eastAsia" w:ascii="宋体" w:hAnsi="宋体" w:eastAsia="宋体" w:cs="宋体"/>
          <w:spacing w:val="8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pacing w:val="8"/>
          <w:sz w:val="30"/>
          <w:szCs w:val="30"/>
        </w:rPr>
        <w:t>个人综合素质</w:t>
      </w:r>
      <w:r>
        <w:rPr>
          <w:rFonts w:hint="eastAsia" w:ascii="宋体" w:hAnsi="宋体" w:eastAsia="宋体" w:cs="宋体"/>
          <w:spacing w:val="7"/>
          <w:sz w:val="30"/>
          <w:szCs w:val="30"/>
        </w:rPr>
        <w:t>、</w:t>
      </w:r>
      <w:r>
        <w:rPr>
          <w:rFonts w:hint="eastAsia" w:ascii="宋体" w:hAnsi="宋体" w:eastAsia="宋体" w:cs="宋体"/>
          <w:spacing w:val="8"/>
          <w:sz w:val="30"/>
          <w:szCs w:val="30"/>
        </w:rPr>
        <w:t>专业能力</w:t>
      </w:r>
      <w:r>
        <w:rPr>
          <w:rFonts w:hint="eastAsia" w:ascii="宋体" w:hAnsi="宋体" w:eastAsia="宋体" w:cs="宋体"/>
          <w:spacing w:val="8"/>
          <w:sz w:val="30"/>
          <w:szCs w:val="30"/>
          <w:lang w:val="en-US" w:eastAsia="zh-CN"/>
        </w:rPr>
        <w:t>与目标职业的</w:t>
      </w:r>
      <w:r>
        <w:rPr>
          <w:rFonts w:hint="eastAsia" w:ascii="宋体" w:hAnsi="宋体" w:eastAsia="宋体" w:cs="宋体"/>
          <w:spacing w:val="8"/>
          <w:sz w:val="30"/>
          <w:szCs w:val="30"/>
        </w:rPr>
        <w:t>契合度，个人发展路径与就业市场需求的适应度。</w:t>
      </w:r>
    </w:p>
    <w:p w14:paraId="58C326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b/>
          <w:bCs/>
          <w:spacing w:val="8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8"/>
          <w:sz w:val="30"/>
          <w:szCs w:val="30"/>
        </w:rPr>
        <w:t>二、参赛对象</w:t>
      </w:r>
    </w:p>
    <w:p w14:paraId="08A1A4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就业赛道设</w:t>
      </w:r>
      <w:r>
        <w:rPr>
          <w:rFonts w:hint="eastAsia" w:ascii="宋体" w:hAnsi="宋体" w:eastAsia="宋体" w:cs="宋体"/>
          <w:spacing w:val="8"/>
          <w:sz w:val="30"/>
          <w:szCs w:val="30"/>
          <w:lang w:val="en-US" w:eastAsia="zh-CN"/>
        </w:rPr>
        <w:t>专科生组</w:t>
      </w:r>
      <w:r>
        <w:rPr>
          <w:rFonts w:hint="eastAsia" w:ascii="宋体" w:hAnsi="宋体" w:eastAsia="宋体" w:cs="宋体"/>
          <w:spacing w:val="8"/>
          <w:sz w:val="30"/>
          <w:szCs w:val="30"/>
        </w:rPr>
        <w:t>、本科生组和研究生组，参赛对象为全日制</w:t>
      </w:r>
      <w:r>
        <w:rPr>
          <w:rFonts w:hint="eastAsia" w:ascii="宋体" w:hAnsi="宋体" w:eastAsia="宋体" w:cs="宋体"/>
          <w:spacing w:val="8"/>
          <w:sz w:val="30"/>
          <w:szCs w:val="30"/>
          <w:lang w:val="en-US" w:eastAsia="zh-CN"/>
        </w:rPr>
        <w:t>在校学生</w:t>
      </w:r>
      <w:r>
        <w:rPr>
          <w:rFonts w:hint="eastAsia" w:ascii="宋体" w:hAnsi="宋体" w:eastAsia="宋体" w:cs="宋体"/>
          <w:spacing w:val="8"/>
          <w:sz w:val="30"/>
          <w:szCs w:val="30"/>
        </w:rPr>
        <w:t>。</w:t>
      </w:r>
      <w:r>
        <w:rPr>
          <w:rFonts w:hint="eastAsia" w:ascii="宋体" w:hAnsi="宋体" w:eastAsia="宋体" w:cs="宋体"/>
          <w:spacing w:val="8"/>
          <w:sz w:val="30"/>
          <w:szCs w:val="30"/>
          <w:lang w:val="en-US" w:eastAsia="zh-CN"/>
        </w:rPr>
        <w:t>专科生组面向三年级学生</w:t>
      </w:r>
      <w:r>
        <w:rPr>
          <w:rFonts w:hint="eastAsia" w:ascii="宋体" w:hAnsi="宋体" w:eastAsia="宋体" w:cs="宋体"/>
          <w:spacing w:val="8"/>
          <w:sz w:val="30"/>
          <w:szCs w:val="30"/>
        </w:rPr>
        <w:t>、本科生组面向本科三、四年级（部分专业五年级）学生；研究生组面向全体研究生。</w:t>
      </w:r>
    </w:p>
    <w:p w14:paraId="4CFF3C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b/>
          <w:bCs/>
          <w:spacing w:val="8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8"/>
          <w:sz w:val="30"/>
          <w:szCs w:val="30"/>
        </w:rPr>
        <w:t>三、参赛材料要求</w:t>
      </w:r>
    </w:p>
    <w:p w14:paraId="12358D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选手提交以下参赛材料：</w:t>
      </w:r>
    </w:p>
    <w:p w14:paraId="4CD2C8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（一）求职简历（PDF格式）。</w:t>
      </w:r>
    </w:p>
    <w:p w14:paraId="32C339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（二）求职综合展示（PPT格式，不超过50MB；可加入视频）。</w:t>
      </w:r>
    </w:p>
    <w:p w14:paraId="0FEC40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（三）辅助证明材料</w:t>
      </w:r>
      <w:r>
        <w:rPr>
          <w:rFonts w:hint="eastAsia" w:ascii="宋体" w:hAnsi="宋体" w:eastAsia="宋体" w:cs="宋体"/>
          <w:spacing w:val="8"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spacing w:val="8"/>
          <w:sz w:val="30"/>
          <w:szCs w:val="30"/>
        </w:rPr>
        <w:t>包括实践、实习、获奖等证明材料（PDF格式，整合为单个文件，不超过50MB）。</w:t>
      </w:r>
    </w:p>
    <w:p w14:paraId="6F052F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b/>
          <w:bCs/>
          <w:spacing w:val="8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8"/>
          <w:sz w:val="30"/>
          <w:szCs w:val="30"/>
        </w:rPr>
        <w:t>四、比赛环节</w:t>
      </w:r>
    </w:p>
    <w:p w14:paraId="0DE79C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就业赛道复赛设主题陈述和综合面试环节。各环节根据实际情况适当调整。</w:t>
      </w:r>
    </w:p>
    <w:p w14:paraId="627ED8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（一）主题陈述（6分钟）：选手结合求职综合展示PPT,陈述个人求职意向和职业准备情况。</w:t>
      </w:r>
    </w:p>
    <w:p w14:paraId="2E2CC1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  <w:sectPr>
          <w:pgSz w:w="11906" w:h="16839"/>
          <w:pgMar w:top="1440" w:right="1669" w:bottom="1440" w:left="1669" w:header="0" w:footer="0" w:gutter="0"/>
          <w:cols w:space="720" w:num="1"/>
        </w:sectPr>
      </w:pPr>
      <w:r>
        <w:rPr>
          <w:rFonts w:hint="eastAsia" w:ascii="宋体" w:hAnsi="宋体" w:eastAsia="宋体" w:cs="宋体"/>
          <w:spacing w:val="8"/>
          <w:sz w:val="30"/>
          <w:szCs w:val="30"/>
        </w:rPr>
        <w:t>（二）综合面试（6分钟）：评委提出真实工作场景中</w:t>
      </w:r>
    </w:p>
    <w:p w14:paraId="7E21FF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可能遇到的问题，选手提出解决方案；评委结合选手陈述自由提问。</w:t>
      </w:r>
    </w:p>
    <w:p w14:paraId="47DE13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b/>
          <w:bCs/>
          <w:spacing w:val="8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8"/>
          <w:sz w:val="30"/>
          <w:szCs w:val="30"/>
        </w:rPr>
        <w:t>五、评审标准</w:t>
      </w:r>
    </w:p>
    <w:p w14:paraId="297820B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Arial"/>
          <w:sz w:val="2"/>
        </w:rPr>
      </w:pPr>
    </w:p>
    <w:tbl>
      <w:tblPr>
        <w:tblStyle w:val="6"/>
        <w:tblW w:w="8549" w:type="dxa"/>
        <w:jc w:val="center"/>
        <w:tblBorders>
          <w:top w:val="single" w:color="2B2F2F" w:sz="2" w:space="0"/>
          <w:left w:val="single" w:color="2B2F2F" w:sz="2" w:space="0"/>
          <w:bottom w:val="single" w:color="2B2F2F" w:sz="2" w:space="0"/>
          <w:right w:val="single" w:color="2B2F2F" w:sz="2" w:space="0"/>
          <w:insideH w:val="single" w:color="2B2F2F" w:sz="2" w:space="0"/>
          <w:insideV w:val="single" w:color="2B2F2F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8"/>
        <w:gridCol w:w="6268"/>
        <w:gridCol w:w="823"/>
      </w:tblGrid>
      <w:tr w14:paraId="6D1B7EFD">
        <w:tblPrEx>
          <w:tblBorders>
            <w:top w:val="single" w:color="2B2F2F" w:sz="2" w:space="0"/>
            <w:left w:val="single" w:color="2B2F2F" w:sz="2" w:space="0"/>
            <w:bottom w:val="single" w:color="2B2F2F" w:sz="2" w:space="0"/>
            <w:right w:val="single" w:color="2B2F2F" w:sz="2" w:space="0"/>
            <w:insideH w:val="single" w:color="2B2F2F" w:sz="2" w:space="0"/>
            <w:insideV w:val="single" w:color="2B2F2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458" w:type="dxa"/>
            <w:tcBorders>
              <w:top w:val="single" w:color="282B2B" w:sz="4" w:space="0"/>
              <w:left w:val="single" w:color="2B2F34" w:sz="2" w:space="0"/>
              <w:bottom w:val="single" w:color="2B2F2B" w:sz="4" w:space="0"/>
              <w:right w:val="single" w:color="2B2B2F" w:sz="2" w:space="0"/>
            </w:tcBorders>
          </w:tcPr>
          <w:p w14:paraId="31B40D7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4" w:line="360" w:lineRule="auto"/>
              <w:ind w:left="511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</w:rPr>
              <w:t>指标</w:t>
            </w:r>
          </w:p>
        </w:tc>
        <w:tc>
          <w:tcPr>
            <w:tcW w:w="6268" w:type="dxa"/>
            <w:tcBorders>
              <w:top w:val="single" w:color="282B2B" w:sz="4" w:space="0"/>
              <w:left w:val="single" w:color="2B2B2F" w:sz="2" w:space="0"/>
              <w:bottom w:val="single" w:color="2B2F2B" w:sz="4" w:space="0"/>
              <w:right w:val="single" w:color="2B2F2F" w:sz="4" w:space="0"/>
            </w:tcBorders>
          </w:tcPr>
          <w:p w14:paraId="369FAAE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4" w:line="360" w:lineRule="auto"/>
              <w:ind w:left="2913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</w:rPr>
              <w:t>说明</w:t>
            </w:r>
          </w:p>
        </w:tc>
        <w:tc>
          <w:tcPr>
            <w:tcW w:w="823" w:type="dxa"/>
            <w:tcBorders>
              <w:top w:val="single" w:color="282B2B" w:sz="4" w:space="0"/>
              <w:left w:val="single" w:color="2B2F2F" w:sz="4" w:space="0"/>
              <w:bottom w:val="single" w:color="2B2F2B" w:sz="4" w:space="0"/>
              <w:right w:val="single" w:color="2F2F34" w:sz="4" w:space="0"/>
            </w:tcBorders>
          </w:tcPr>
          <w:p w14:paraId="0861D4C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3" w:line="360" w:lineRule="auto"/>
              <w:ind w:left="195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9"/>
              </w:rPr>
              <w:t>分值</w:t>
            </w:r>
          </w:p>
        </w:tc>
      </w:tr>
      <w:tr w14:paraId="5AE7F311">
        <w:tblPrEx>
          <w:tblBorders>
            <w:top w:val="single" w:color="2B2F2F" w:sz="2" w:space="0"/>
            <w:left w:val="single" w:color="2B2F2F" w:sz="2" w:space="0"/>
            <w:bottom w:val="single" w:color="2B2F2F" w:sz="2" w:space="0"/>
            <w:right w:val="single" w:color="2B2F2F" w:sz="2" w:space="0"/>
            <w:insideH w:val="single" w:color="2B2F2F" w:sz="2" w:space="0"/>
            <w:insideV w:val="single" w:color="2B2F2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1458" w:type="dxa"/>
            <w:vMerge w:val="restart"/>
            <w:tcBorders>
              <w:top w:val="single" w:color="2B2F2B" w:sz="4" w:space="0"/>
              <w:left w:val="single" w:color="2F2F34" w:sz="2" w:space="0"/>
              <w:bottom w:val="nil"/>
              <w:right w:val="single" w:color="2B2F34" w:sz="4" w:space="0"/>
            </w:tcBorders>
          </w:tcPr>
          <w:p w14:paraId="1CA79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2DC7A5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241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6"/>
              </w:rPr>
              <w:t>职业目标</w:t>
            </w:r>
          </w:p>
        </w:tc>
        <w:tc>
          <w:tcPr>
            <w:tcW w:w="6268" w:type="dxa"/>
            <w:tcBorders>
              <w:top w:val="single" w:color="2B2F2B" w:sz="4" w:space="0"/>
              <w:left w:val="single" w:color="2B2F34" w:sz="4" w:space="0"/>
              <w:bottom w:val="single" w:color="232828" w:sz="2" w:space="0"/>
              <w:right w:val="single" w:color="2B2F2F" w:sz="4" w:space="0"/>
            </w:tcBorders>
          </w:tcPr>
          <w:p w14:paraId="3C1B35A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54" w:line="360" w:lineRule="auto"/>
              <w:ind w:left="111" w:firstLine="27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能够结合就业市场需求和个人所学专业、能力及兴</w:t>
            </w:r>
            <w:r>
              <w:rPr>
                <w:rFonts w:hint="eastAsia" w:ascii="宋体" w:hAnsi="宋体" w:eastAsia="宋体" w:cs="宋体"/>
                <w:spacing w:val="-1"/>
              </w:rPr>
              <w:t>趣等特点，合理设定职业目标</w:t>
            </w:r>
          </w:p>
        </w:tc>
        <w:tc>
          <w:tcPr>
            <w:tcW w:w="823" w:type="dxa"/>
            <w:tcBorders>
              <w:top w:val="single" w:color="2B2F2B" w:sz="4" w:space="0"/>
              <w:left w:val="single" w:color="2B2F2F" w:sz="4" w:space="0"/>
              <w:bottom w:val="single" w:color="232828" w:sz="2" w:space="0"/>
              <w:right w:val="single" w:color="2F2F34" w:sz="4" w:space="0"/>
            </w:tcBorders>
          </w:tcPr>
          <w:p w14:paraId="4318DA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270" w:line="360" w:lineRule="auto"/>
              <w:ind w:left="363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</w:t>
            </w:r>
          </w:p>
        </w:tc>
      </w:tr>
      <w:tr w14:paraId="34FB4558">
        <w:tblPrEx>
          <w:tblBorders>
            <w:top w:val="single" w:color="2B2F2F" w:sz="2" w:space="0"/>
            <w:left w:val="single" w:color="2B2F2F" w:sz="2" w:space="0"/>
            <w:bottom w:val="single" w:color="2B2F2F" w:sz="2" w:space="0"/>
            <w:right w:val="single" w:color="2B2F2F" w:sz="2" w:space="0"/>
            <w:insideH w:val="single" w:color="2B2F2F" w:sz="2" w:space="0"/>
            <w:insideV w:val="single" w:color="2B2F2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1458" w:type="dxa"/>
            <w:vMerge w:val="continue"/>
            <w:tcBorders>
              <w:top w:val="nil"/>
              <w:left w:val="single" w:color="2F2F34" w:sz="2" w:space="0"/>
              <w:bottom w:val="single" w:color="282B2B" w:sz="4" w:space="0"/>
              <w:right w:val="single" w:color="2B2F34" w:sz="4" w:space="0"/>
            </w:tcBorders>
          </w:tcPr>
          <w:p w14:paraId="7B677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268" w:type="dxa"/>
            <w:tcBorders>
              <w:top w:val="single" w:color="232828" w:sz="2" w:space="0"/>
              <w:left w:val="single" w:color="2B2F34" w:sz="4" w:space="0"/>
              <w:bottom w:val="single" w:color="282B2B" w:sz="4" w:space="0"/>
              <w:right w:val="single" w:color="28282B" w:sz="2" w:space="0"/>
            </w:tcBorders>
          </w:tcPr>
          <w:p w14:paraId="5E3F325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82" w:line="360" w:lineRule="auto"/>
              <w:ind w:left="118" w:right="110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深</w:t>
            </w:r>
            <w:r>
              <w:rPr>
                <w:rFonts w:hint="eastAsia" w:ascii="宋体" w:hAnsi="宋体" w:eastAsia="宋体" w:cs="宋体"/>
                <w:lang w:eastAsia="zh-CN"/>
              </w:rPr>
              <w:t>入调研并准确把握目标职业的任职要求</w:t>
            </w:r>
            <w:r>
              <w:rPr>
                <w:rFonts w:hint="eastAsia" w:ascii="宋体" w:hAnsi="宋体" w:eastAsia="宋体" w:cs="宋体"/>
                <w:spacing w:val="-2"/>
              </w:rPr>
              <w:t>、</w:t>
            </w:r>
            <w:r>
              <w:rPr>
                <w:rFonts w:hint="eastAsia" w:ascii="宋体" w:hAnsi="宋体" w:eastAsia="宋体" w:cs="宋体"/>
                <w:lang w:eastAsia="zh-CN"/>
              </w:rPr>
              <w:t>工作内容</w:t>
            </w:r>
            <w:r>
              <w:rPr>
                <w:rFonts w:hint="eastAsia" w:ascii="宋体" w:hAnsi="宋体" w:eastAsia="宋体" w:cs="宋体"/>
                <w:spacing w:val="-2"/>
              </w:rPr>
              <w:t>、</w:t>
            </w:r>
            <w:r>
              <w:rPr>
                <w:rFonts w:hint="eastAsia" w:ascii="宋体" w:hAnsi="宋体" w:eastAsia="宋体" w:cs="宋体"/>
                <w:lang w:eastAsia="zh-CN"/>
              </w:rPr>
              <w:t>基本流程和发展路径等</w:t>
            </w:r>
          </w:p>
        </w:tc>
        <w:tc>
          <w:tcPr>
            <w:tcW w:w="823" w:type="dxa"/>
            <w:tcBorders>
              <w:top w:val="single" w:color="232828" w:sz="2" w:space="0"/>
              <w:left w:val="single" w:color="28282B" w:sz="2" w:space="0"/>
              <w:bottom w:val="single" w:color="282B2B" w:sz="4" w:space="0"/>
              <w:right w:val="single" w:color="2B2B2F" w:sz="2" w:space="0"/>
            </w:tcBorders>
          </w:tcPr>
          <w:p w14:paraId="407AEE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266" w:line="360" w:lineRule="auto"/>
              <w:ind w:left="365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</w:t>
            </w:r>
          </w:p>
        </w:tc>
      </w:tr>
      <w:tr w14:paraId="09F5F940">
        <w:tblPrEx>
          <w:tblBorders>
            <w:top w:val="single" w:color="2B2F2F" w:sz="2" w:space="0"/>
            <w:left w:val="single" w:color="2B2F2F" w:sz="2" w:space="0"/>
            <w:bottom w:val="single" w:color="2B2F2F" w:sz="2" w:space="0"/>
            <w:right w:val="single" w:color="2B2F2F" w:sz="2" w:space="0"/>
            <w:insideH w:val="single" w:color="2B2F2F" w:sz="2" w:space="0"/>
            <w:insideV w:val="single" w:color="2B2F2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458" w:type="dxa"/>
            <w:vMerge w:val="restart"/>
            <w:tcBorders>
              <w:top w:val="single" w:color="282B2B" w:sz="4" w:space="0"/>
              <w:bottom w:val="nil"/>
              <w:right w:val="single" w:color="2B2F34" w:sz="4" w:space="0"/>
            </w:tcBorders>
          </w:tcPr>
          <w:p w14:paraId="4D2B3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491406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376" w:right="252" w:firstLine="17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24"/>
              </w:rPr>
              <w:t>岗位</w:t>
            </w:r>
            <w:r>
              <w:rPr>
                <w:rFonts w:hint="eastAsia" w:ascii="宋体" w:hAnsi="宋体" w:eastAsia="宋体" w:cs="宋体"/>
                <w:spacing w:val="-7"/>
              </w:rPr>
              <w:t>胜任力</w:t>
            </w:r>
          </w:p>
        </w:tc>
        <w:tc>
          <w:tcPr>
            <w:tcW w:w="6268" w:type="dxa"/>
            <w:tcBorders>
              <w:top w:val="single" w:color="282B2B" w:sz="4" w:space="0"/>
              <w:left w:val="single" w:color="2B2F34" w:sz="4" w:space="0"/>
              <w:bottom w:val="single" w:color="2B2F2F" w:sz="4" w:space="0"/>
              <w:right w:val="single" w:color="282B2F" w:sz="8" w:space="0"/>
            </w:tcBorders>
          </w:tcPr>
          <w:p w14:paraId="6D71FBD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55" w:line="360" w:lineRule="auto"/>
              <w:ind w:left="118" w:firstLine="5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2"/>
              </w:rPr>
              <w:t>具备目标岗位所需综合素质，如思维认知、沟通协</w:t>
            </w:r>
            <w:r>
              <w:rPr>
                <w:rFonts w:hint="eastAsia" w:ascii="宋体" w:hAnsi="宋体" w:eastAsia="宋体" w:cs="宋体"/>
                <w:spacing w:val="-1"/>
              </w:rPr>
              <w:t>作能力和执行力等，具有敬业奉献的职业精神</w:t>
            </w:r>
          </w:p>
        </w:tc>
        <w:tc>
          <w:tcPr>
            <w:tcW w:w="823" w:type="dxa"/>
            <w:tcBorders>
              <w:top w:val="single" w:color="282B2B" w:sz="4" w:space="0"/>
              <w:left w:val="single" w:color="282B2F" w:sz="8" w:space="0"/>
              <w:bottom w:val="single" w:color="2B2F2F" w:sz="4" w:space="0"/>
              <w:right w:val="single" w:color="282B2B" w:sz="2" w:space="0"/>
            </w:tcBorders>
          </w:tcPr>
          <w:p w14:paraId="354B98B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274" w:line="360" w:lineRule="auto"/>
              <w:ind w:left="286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0"/>
              </w:rPr>
              <w:t>40</w:t>
            </w:r>
          </w:p>
        </w:tc>
      </w:tr>
      <w:tr w14:paraId="62F9EBE4">
        <w:tblPrEx>
          <w:tblBorders>
            <w:top w:val="single" w:color="2B2F2F" w:sz="2" w:space="0"/>
            <w:left w:val="single" w:color="2B2F2F" w:sz="2" w:space="0"/>
            <w:bottom w:val="single" w:color="2B2F2F" w:sz="2" w:space="0"/>
            <w:right w:val="single" w:color="2B2F2F" w:sz="2" w:space="0"/>
            <w:insideH w:val="single" w:color="2B2F2F" w:sz="2" w:space="0"/>
            <w:insideV w:val="single" w:color="2B2F2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  <w:jc w:val="center"/>
        </w:trPr>
        <w:tc>
          <w:tcPr>
            <w:tcW w:w="1458" w:type="dxa"/>
            <w:vMerge w:val="continue"/>
            <w:tcBorders>
              <w:top w:val="nil"/>
              <w:right w:val="single" w:color="2B2F34" w:sz="4" w:space="0"/>
            </w:tcBorders>
          </w:tcPr>
          <w:p w14:paraId="4674A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6268" w:type="dxa"/>
            <w:tcBorders>
              <w:top w:val="single" w:color="2B2F2F" w:sz="4" w:space="0"/>
              <w:left w:val="single" w:color="2B2F34" w:sz="4" w:space="0"/>
              <w:right w:val="single" w:color="282B2F" w:sz="4" w:space="0"/>
            </w:tcBorders>
          </w:tcPr>
          <w:p w14:paraId="264B46F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3" w:line="360" w:lineRule="auto"/>
              <w:ind w:left="208" w:right="93" w:hanging="65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7"/>
              </w:rPr>
              <w:t>具备目标岗位所需的专业知识和技能要求，相关实</w:t>
            </w:r>
            <w:r>
              <w:rPr>
                <w:rFonts w:hint="eastAsia" w:ascii="宋体" w:hAnsi="宋体" w:eastAsia="宋体" w:cs="宋体"/>
                <w:spacing w:val="-3"/>
              </w:rPr>
              <w:t>习实践经历丰富，具备解决实际问题的专业能力</w:t>
            </w:r>
          </w:p>
        </w:tc>
        <w:tc>
          <w:tcPr>
            <w:tcW w:w="823" w:type="dxa"/>
            <w:tcBorders>
              <w:top w:val="single" w:color="2B2F2F" w:sz="4" w:space="0"/>
              <w:left w:val="single" w:color="282B2F" w:sz="4" w:space="0"/>
              <w:right w:val="single" w:color="282B2B" w:sz="2" w:space="0"/>
            </w:tcBorders>
          </w:tcPr>
          <w:p w14:paraId="0B1F0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50AC99E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288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0"/>
              </w:rPr>
              <w:t>40</w:t>
            </w:r>
          </w:p>
        </w:tc>
      </w:tr>
      <w:tr w14:paraId="12671AE1">
        <w:tblPrEx>
          <w:tblBorders>
            <w:top w:val="single" w:color="2B2F2F" w:sz="2" w:space="0"/>
            <w:left w:val="single" w:color="2B2F2F" w:sz="2" w:space="0"/>
            <w:bottom w:val="single" w:color="2B2F2F" w:sz="2" w:space="0"/>
            <w:right w:val="single" w:color="2B2F2F" w:sz="2" w:space="0"/>
            <w:insideH w:val="single" w:color="2B2F2F" w:sz="2" w:space="0"/>
            <w:insideV w:val="single" w:color="2B2F2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  <w:jc w:val="center"/>
        </w:trPr>
        <w:tc>
          <w:tcPr>
            <w:tcW w:w="1458" w:type="dxa"/>
            <w:tcBorders>
              <w:left w:val="single" w:color="232328" w:sz="8" w:space="0"/>
              <w:right w:val="single" w:color="28282B" w:sz="2" w:space="0"/>
            </w:tcBorders>
          </w:tcPr>
          <w:p w14:paraId="20CC4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109FB25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226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发展潜力</w:t>
            </w:r>
          </w:p>
        </w:tc>
        <w:tc>
          <w:tcPr>
            <w:tcW w:w="6268" w:type="dxa"/>
            <w:tcBorders>
              <w:left w:val="single" w:color="28282B" w:sz="2" w:space="0"/>
              <w:right w:val="single" w:color="28282B" w:sz="2" w:space="0"/>
            </w:tcBorders>
          </w:tcPr>
          <w:p w14:paraId="676954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0" w:line="360" w:lineRule="auto"/>
              <w:ind w:left="126" w:hanging="3"/>
              <w:jc w:val="both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</w:rPr>
              <w:t>具备持续学习能力、创新精神和应对不确定性挑战</w:t>
            </w:r>
            <w:r>
              <w:rPr>
                <w:rFonts w:hint="eastAsia" w:ascii="宋体" w:hAnsi="宋体" w:eastAsia="宋体" w:cs="宋体"/>
                <w:spacing w:val="-2"/>
              </w:rPr>
              <w:t>的潜质，适应未来职业发展要求</w:t>
            </w:r>
            <w:r>
              <w:rPr>
                <w:rFonts w:hint="eastAsia" w:ascii="宋体" w:hAnsi="宋体" w:eastAsia="宋体" w:cs="宋体"/>
                <w:spacing w:val="-2"/>
                <w:lang w:eastAsia="zh-CN"/>
              </w:rPr>
              <w:t>和就业市场需</w:t>
            </w:r>
            <w:r>
              <w:rPr>
                <w:rFonts w:hint="eastAsia" w:ascii="宋体" w:hAnsi="宋体" w:eastAsia="宋体" w:cs="宋体"/>
                <w:spacing w:val="-2"/>
                <w:lang w:val="en-US" w:eastAsia="zh-CN"/>
              </w:rPr>
              <w:t>要</w:t>
            </w:r>
          </w:p>
        </w:tc>
        <w:tc>
          <w:tcPr>
            <w:tcW w:w="823" w:type="dxa"/>
            <w:tcBorders>
              <w:left w:val="single" w:color="28282B" w:sz="2" w:space="0"/>
              <w:right w:val="single" w:color="2F3438" w:sz="4" w:space="0"/>
            </w:tcBorders>
          </w:tcPr>
          <w:p w14:paraId="7EB6B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</w:rPr>
            </w:pPr>
          </w:p>
          <w:p w14:paraId="55A5E4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91" w:line="360" w:lineRule="auto"/>
              <w:ind w:left="296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14"/>
              </w:rPr>
              <w:t>10</w:t>
            </w:r>
          </w:p>
        </w:tc>
      </w:tr>
    </w:tbl>
    <w:p w14:paraId="1F2A8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77"/>
        <w:textAlignment w:val="auto"/>
        <w:outlineLvl w:val="1"/>
        <w:rPr>
          <w:rFonts w:hint="eastAsia" w:ascii="宋体" w:hAnsi="宋体" w:eastAsia="宋体" w:cs="宋体"/>
          <w:b/>
          <w:bCs/>
          <w:spacing w:val="8"/>
          <w:kern w:val="2"/>
          <w:sz w:val="30"/>
          <w:szCs w:val="30"/>
          <w:lang w:val="en-US" w:eastAsia="en-US" w:bidi="ar-SA"/>
        </w:rPr>
      </w:pPr>
    </w:p>
    <w:p w14:paraId="633D6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677"/>
        <w:textAlignment w:val="auto"/>
        <w:outlineLvl w:val="1"/>
        <w:rPr>
          <w:rFonts w:hint="eastAsia" w:ascii="宋体" w:hAnsi="宋体" w:eastAsia="宋体" w:cs="宋体"/>
          <w:b/>
          <w:bCs/>
          <w:spacing w:val="8"/>
          <w:kern w:val="2"/>
          <w:sz w:val="30"/>
          <w:szCs w:val="30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spacing w:val="8"/>
          <w:kern w:val="2"/>
          <w:sz w:val="30"/>
          <w:szCs w:val="30"/>
          <w:lang w:val="en-US" w:eastAsia="en-US" w:bidi="ar-SA"/>
        </w:rPr>
        <w:t>六、奖励设置</w:t>
      </w:r>
    </w:p>
    <w:p w14:paraId="38706D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" w:right="16" w:firstLine="632"/>
        <w:textAlignment w:val="auto"/>
        <w:rPr>
          <w:rFonts w:hint="eastAsia" w:ascii="宋体" w:hAnsi="宋体" w:eastAsia="宋体" w:cs="宋体"/>
          <w:spacing w:val="8"/>
          <w:kern w:val="2"/>
          <w:sz w:val="30"/>
          <w:szCs w:val="30"/>
          <w:lang w:val="en-US" w:eastAsia="en-US" w:bidi="ar-SA"/>
        </w:rPr>
      </w:pPr>
      <w:r>
        <w:rPr>
          <w:rFonts w:hint="eastAsia" w:ascii="宋体" w:hAnsi="宋体" w:eastAsia="宋体" w:cs="宋体"/>
          <w:spacing w:val="8"/>
          <w:kern w:val="2"/>
          <w:sz w:val="30"/>
          <w:szCs w:val="30"/>
          <w:lang w:val="en-US" w:eastAsia="en-US" w:bidi="ar-SA"/>
        </w:rPr>
        <w:t>就业赛道设置一等奖1个、二等奖2个、三等奖3个。优秀指导教师奖1个。研究生组决赛选手达到10人以上，单独设奖。</w:t>
      </w:r>
    </w:p>
    <w:p w14:paraId="18DF59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" w:right="16" w:firstLine="632"/>
        <w:textAlignment w:val="auto"/>
        <w:rPr>
          <w:rFonts w:hint="eastAsia" w:ascii="宋体" w:hAnsi="宋体" w:eastAsia="宋体" w:cs="宋体"/>
          <w:spacing w:val="8"/>
          <w:kern w:val="2"/>
          <w:sz w:val="30"/>
          <w:szCs w:val="30"/>
          <w:lang w:val="en-US" w:eastAsia="en-US" w:bidi="ar-SA"/>
        </w:rPr>
      </w:pPr>
    </w:p>
    <w:p w14:paraId="3C4DEC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" w:right="16" w:firstLine="632"/>
        <w:textAlignment w:val="auto"/>
        <w:rPr>
          <w:rFonts w:hint="eastAsia" w:ascii="宋体" w:hAnsi="宋体" w:eastAsia="宋体" w:cs="宋体"/>
          <w:spacing w:val="8"/>
          <w:kern w:val="2"/>
          <w:sz w:val="30"/>
          <w:szCs w:val="30"/>
          <w:lang w:val="en-US" w:eastAsia="en-US" w:bidi="ar-SA"/>
        </w:rPr>
      </w:pPr>
    </w:p>
    <w:p w14:paraId="04B167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" w:right="16" w:firstLine="632"/>
        <w:textAlignment w:val="auto"/>
        <w:rPr>
          <w:rFonts w:hint="eastAsia" w:ascii="宋体" w:hAnsi="宋体" w:eastAsia="宋体" w:cs="宋体"/>
          <w:spacing w:val="8"/>
          <w:kern w:val="2"/>
          <w:sz w:val="30"/>
          <w:szCs w:val="30"/>
          <w:lang w:val="en-US" w:eastAsia="en-US" w:bidi="ar-SA"/>
        </w:rPr>
      </w:pPr>
    </w:p>
    <w:p w14:paraId="6EDA9A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" w:right="16" w:firstLine="632"/>
        <w:textAlignment w:val="auto"/>
        <w:rPr>
          <w:rFonts w:hint="eastAsia" w:ascii="宋体" w:hAnsi="宋体" w:eastAsia="宋体" w:cs="宋体"/>
          <w:spacing w:val="8"/>
          <w:kern w:val="2"/>
          <w:sz w:val="30"/>
          <w:szCs w:val="30"/>
          <w:lang w:val="en-US" w:eastAsia="en-US" w:bidi="ar-SA"/>
        </w:rPr>
      </w:pPr>
    </w:p>
    <w:p w14:paraId="1A9218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E22DB"/>
    <w:rsid w:val="112E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paragraph" w:customStyle="1" w:styleId="5">
    <w:name w:val="Table Text"/>
    <w:basedOn w:val="1"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2025-11-05T00:26:00Z</dcterms:created>
  <dc:creator> 娜是大白桃</dc:creator>
  <cp:lastModifiedBy> 娜是大白桃</cp:lastModifiedBy>
  <dcterms:modified xsi:type="dcterms:W3CDTF">2025-11-05T00:27:11Z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168B54D1980D44F082B2D49BF1AD86FB_11</vt:lpwstr>
  </property>
  <property fmtid="{D5CDD505-2E9C-101B-9397-08002B2CF9AE}" pid="4" name="KSOTemplateDocerSaveRecord">
    <vt:lpwstr>eyJoZGlkIjoiNTU0ZmIwYTQ3NzlmZGUxZmU3Zjk0M2IyZTNmM2IxNjAiLCJ1c2VySWQiOiI0MTYzNzQyNjMifQ==</vt:lpwstr>
  </property>
</Properties>
</file>